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0F" w:rsidRDefault="005E770F" w:rsidP="005E770F">
      <w:pPr>
        <w:pStyle w:val="a3"/>
        <w:spacing w:before="180" w:beforeAutospacing="0" w:after="180" w:afterAutospacing="0" w:line="33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27-28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2015р.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відбувся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4-ий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Щорічний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ФОРУМ ДУНАЙСЬКОЇ СТРАТЕГІЇ ЄС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увімкнув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зелене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інновацій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регіоні</w:t>
      </w:r>
      <w:proofErr w:type="spellEnd"/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Представники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високого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івня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14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країн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дев'ять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держав-членів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ЄС 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п'ять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країн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входять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до ЄС),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відносяться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європейського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Дунайського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макро-регіону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зібралися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29-30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Ульмі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Німеччина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) на 4-му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щорічному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форумі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метою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підвести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підсумки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досягнутого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прогресу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вирішити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як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рухатися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вперед.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Дебати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учасників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були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зосереджені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широкому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колі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аспектів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: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високі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технології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соціальне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економічне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зростання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Дунайському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регіоні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освіта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та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бізнес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інновації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енергетиці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туризмі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охороні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навколишнього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безпеці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; проблемах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багаторівневого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управління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 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Інститут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проблем ринку 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економіко-екологічних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іджень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НАН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серед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партнерів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проекту Danube-INCO.NET*,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прийняв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участь 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Форумі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Партнери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проекту Danube-INCO.NET провели два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обговорювання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та два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успішних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семінари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всіма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зацікавленими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сторонами.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Ц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зустрічі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дали старт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нових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спільних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Дунайського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дій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дискусій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секторі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інновацій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4-й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щорічний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Форум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найголовніше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щорічна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(EUSDR).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Близько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учасниківФоруму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представляли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уряди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приватний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сектор,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громадянське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спільноту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комісару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чотири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запуску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вона приносить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відчутні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наголосила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відновлення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політичних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зобов'язань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перейти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метою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транспорту,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енергетики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Результатом Форуму стала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виражає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усвідомлення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політичної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прихильності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країн-учасників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упорядкувати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фінансові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Європейський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Інвестиційний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Фонд,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вступу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ЄС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Європейський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добросусідства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отримання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скористайтеся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посиланням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a5"/>
            <w:rFonts w:ascii="Arial" w:hAnsi="Arial" w:cs="Arial"/>
            <w:sz w:val="21"/>
            <w:szCs w:val="21"/>
          </w:rPr>
          <w:t>http://danube-inco.net/object/document/16165</w:t>
        </w:r>
      </w:hyperlink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Партнери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проекту Danube-INCO.NET провели два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семінари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друга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стейкхолдерів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Прокладаючи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шлях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»;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семінар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«Шляхи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об’єднання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транснаціонального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фінансування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ідницької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інноваційної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4-го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щорічного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Форуму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ЄС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передував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щорічний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Єдиного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ідницького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Центру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Joint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Research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Centre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–JRC),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присвячений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підтримки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відбувся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27 та 28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Ульмі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придунайських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країн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взяли участь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засіданнях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присвячених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інноваціям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енергетиці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високим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водопостачанню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Дунайському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представлена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Інститутом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 ринку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економіко-екологічних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*Проект Danube-INCO.NET (www.danube-inco.net)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базується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на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політичному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діалозі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в рамках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реалізації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Стратегії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Європейського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Союзу для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Дунайського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Регіону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гармонізації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політичних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ініціатив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Європейського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союзу та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посиленні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білатерального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діалогу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щодо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реалізації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програми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ERA (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Європейський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Досл</w:t>
      </w:r>
      <w:proofErr w:type="gram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ідницький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Простір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)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й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створення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Innovation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Union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, IU (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Інноваційного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Союзу).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Проект Danube-INCO.NET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функціонує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2014 року.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фінансується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Сьомою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Рамковою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(FP7) ЄС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спрямований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ідтримку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Стратегії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ЄС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(EUSDR)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галузі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досліджень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інновацій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(R&amp;I). В той час, коли EUSDR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розглядає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широкий спектр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іоритетів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Danube-INCO.NET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орієнтований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основному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них: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сьомий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-"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суспільство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знання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" та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восьмий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-"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конкурентоспроможність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 xml:space="preserve">. Проект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ідтримує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політичний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діалог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створює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мережі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аналізує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підтримує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R&amp;I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діяльність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партнера Danube-INCO.NET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виступає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Інститут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 ринку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економіко-екологічних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координатор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Академік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НАН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, д.е.н.,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професор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</w:rPr>
        <w:t xml:space="preserve"> Борис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</w:rPr>
        <w:t>Буркинський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Проект Danube-INCO.NET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орієнтований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енергоефективності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поновлюваних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джерел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контексті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біо-економіки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шляхом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кластеризації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реалізації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конкретних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ілотних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проектів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E770F" w:rsidRDefault="005E770F" w:rsidP="005E770F">
      <w:pPr>
        <w:pStyle w:val="a3"/>
        <w:spacing w:before="180" w:beforeAutospacing="0" w:after="180" w:afterAutospacing="0" w:line="33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Проект Дунай-INCO.NET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продовжуватиметься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2016 р.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спрямовуватиме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зусилля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того,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заходи,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публікації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пов'язані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співпрацею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інновацій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якомога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ширшої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залучені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майбутньому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макро-регіональному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Дунайського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C393D" w:rsidRPr="005E770F" w:rsidRDefault="005E770F" w:rsidP="005E770F">
      <w:pPr>
        <w:pStyle w:val="a3"/>
        <w:spacing w:before="180" w:beforeAutospacing="0" w:after="18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</w:r>
      <w:r>
        <w:rPr>
          <w:rFonts w:ascii="Arial" w:hAnsi="Arial" w:cs="Arial"/>
          <w:noProof/>
          <w:color w:val="000000"/>
          <w:sz w:val="21"/>
          <w:szCs w:val="21"/>
        </w:rPr>
        <w:pict>
          <v:rect id="AutoShape 2" o:spid="_x0000_s1026" alt="http://www.impeer.od.ua/images/news/meeting.jpg" style="width:637.5pt;height:25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" filled="f" stroked="f">
            <o:lock v:ext="edit" aspectratio="t"/>
            <w10:wrap type="none"/>
            <w10:anchorlock/>
          </v:rect>
        </w:pict>
      </w:r>
    </w:p>
    <w:sectPr w:rsidR="00FC393D" w:rsidRPr="005E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70F"/>
    <w:rsid w:val="005E770F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770F"/>
    <w:rPr>
      <w:b/>
      <w:bCs/>
    </w:rPr>
  </w:style>
  <w:style w:type="character" w:customStyle="1" w:styleId="apple-converted-space">
    <w:name w:val="apple-converted-space"/>
    <w:basedOn w:val="a0"/>
    <w:rsid w:val="005E770F"/>
  </w:style>
  <w:style w:type="character" w:styleId="a5">
    <w:name w:val="Hyperlink"/>
    <w:basedOn w:val="a0"/>
    <w:uiPriority w:val="99"/>
    <w:semiHidden/>
    <w:unhideWhenUsed/>
    <w:rsid w:val="005E770F"/>
    <w:rPr>
      <w:color w:val="0000FF"/>
      <w:u w:val="single"/>
    </w:rPr>
  </w:style>
  <w:style w:type="character" w:styleId="a6">
    <w:name w:val="Emphasis"/>
    <w:basedOn w:val="a0"/>
    <w:uiPriority w:val="20"/>
    <w:qFormat/>
    <w:rsid w:val="005E77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nube-inco.net/object/document/16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2016-02-10T08:33:00Z</dcterms:created>
  <dcterms:modified xsi:type="dcterms:W3CDTF">2016-02-10T08:34:00Z</dcterms:modified>
</cp:coreProperties>
</file>